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F0" w:rsidRDefault="007532F0" w:rsidP="007532F0">
      <w:pPr>
        <w:pStyle w:val="style3"/>
        <w:shd w:val="clear" w:color="auto" w:fill="FFFFFF"/>
        <w:jc w:val="center"/>
        <w:rPr>
          <w:b/>
          <w:bCs/>
          <w:color w:val="E80000"/>
        </w:rPr>
      </w:pPr>
      <w:r>
        <w:rPr>
          <w:b/>
          <w:bCs/>
          <w:color w:val="E80000"/>
        </w:rPr>
        <w:t>PHÁC ĐỒ ĐIỀU TRỊ TỤ MÁU VÀNH TAI</w:t>
      </w:r>
    </w:p>
    <w:p w:rsidR="007532F0" w:rsidRDefault="007532F0" w:rsidP="007532F0">
      <w:pPr>
        <w:pStyle w:val="style3"/>
        <w:shd w:val="clear" w:color="auto" w:fill="FFFFFF"/>
        <w:rPr>
          <w:b/>
          <w:bCs/>
          <w:color w:val="E80000"/>
        </w:rPr>
      </w:pPr>
      <w:r>
        <w:rPr>
          <w:b/>
          <w:bCs/>
          <w:color w:val="E80000"/>
        </w:rPr>
        <w:t>ĐỊNH NGHĨA</w:t>
      </w:r>
    </w:p>
    <w:p w:rsidR="007532F0" w:rsidRDefault="007532F0" w:rsidP="007532F0">
      <w:pPr>
        <w:pStyle w:val="NormalWeb"/>
        <w:shd w:val="clear" w:color="auto" w:fill="FFFFFF"/>
        <w:rPr>
          <w:color w:val="000000"/>
        </w:rPr>
      </w:pPr>
      <w:r>
        <w:rPr>
          <w:color w:val="000000"/>
        </w:rPr>
        <w:t>-    Là một tình trạng tích tụ máu vùng vành tai, sinh ra sau chấn thương đụng dập.</w:t>
      </w:r>
    </w:p>
    <w:p w:rsidR="007532F0" w:rsidRDefault="007532F0" w:rsidP="007532F0">
      <w:pPr>
        <w:pStyle w:val="NormalWeb"/>
        <w:shd w:val="clear" w:color="auto" w:fill="FFFFFF"/>
        <w:rPr>
          <w:color w:val="000000"/>
        </w:rPr>
      </w:pPr>
      <w:r>
        <w:rPr>
          <w:color w:val="000000"/>
        </w:rPr>
        <w:t>-    Cơ chế chấn thương là do đứt mạch máu màng sụn làm máu chảy ra và tụ lại giữa lđp sụn và màng sụn làm tách lđp màng sụn ra khởi sụn.</w:t>
      </w:r>
    </w:p>
    <w:p w:rsidR="007532F0" w:rsidRDefault="007532F0" w:rsidP="007532F0">
      <w:pPr>
        <w:pStyle w:val="NormalWeb"/>
        <w:shd w:val="clear" w:color="auto" w:fill="FFFFFF"/>
        <w:rPr>
          <w:color w:val="000000"/>
        </w:rPr>
      </w:pPr>
      <w:r>
        <w:rPr>
          <w:color w:val="000000"/>
        </w:rPr>
        <w:t>-    Nếu tổn thương không được điều trị sớm, khối máu tụ sẽ chèn ép làm viêm hoại tử sụn vành tai -ỳ biến chứng vành tai hình bông cải.</w:t>
      </w:r>
    </w:p>
    <w:p w:rsidR="007532F0" w:rsidRDefault="007532F0" w:rsidP="007532F0">
      <w:pPr>
        <w:pStyle w:val="style3"/>
        <w:shd w:val="clear" w:color="auto" w:fill="FFFFFF"/>
        <w:rPr>
          <w:b/>
          <w:bCs/>
          <w:color w:val="E80000"/>
        </w:rPr>
      </w:pPr>
      <w:r>
        <w:rPr>
          <w:b/>
          <w:bCs/>
          <w:color w:val="E80000"/>
        </w:rPr>
        <w:t>ĐIỀU TRỊ TỤ MÁU VÀNH TAI</w:t>
      </w:r>
    </w:p>
    <w:p w:rsidR="007532F0" w:rsidRDefault="007532F0" w:rsidP="007532F0">
      <w:pPr>
        <w:pStyle w:val="NormalWeb"/>
        <w:shd w:val="clear" w:color="auto" w:fill="FFFFFF"/>
        <w:rPr>
          <w:color w:val="000000"/>
        </w:rPr>
      </w:pPr>
      <w:r>
        <w:rPr>
          <w:color w:val="000000"/>
        </w:rPr>
        <w:t>1.    Chọc hút lấy máu tụ bằng kim hoặc rạch lấy máu đông, chỉ định chọc hút khù</w:t>
      </w:r>
    </w:p>
    <w:p w:rsidR="007532F0" w:rsidRDefault="007532F0" w:rsidP="007532F0">
      <w:pPr>
        <w:pStyle w:val="NormalWeb"/>
        <w:shd w:val="clear" w:color="auto" w:fill="FFFFFF"/>
        <w:rPr>
          <w:color w:val="000000"/>
        </w:rPr>
      </w:pPr>
      <w:r>
        <w:rPr>
          <w:color w:val="000000"/>
        </w:rPr>
        <w:t>-    Khối máu tụ lớn, làm mất các gờ, rãnh vùng vành tai</w:t>
      </w:r>
    </w:p>
    <w:p w:rsidR="007532F0" w:rsidRDefault="007532F0" w:rsidP="007532F0">
      <w:pPr>
        <w:pStyle w:val="NormalWeb"/>
        <w:shd w:val="clear" w:color="auto" w:fill="FFFFFF"/>
        <w:rPr>
          <w:color w:val="000000"/>
        </w:rPr>
      </w:pPr>
      <w:r>
        <w:rPr>
          <w:color w:val="000000"/>
        </w:rPr>
        <w:t>-    Sờ có cảm giác phập phều</w:t>
      </w:r>
    </w:p>
    <w:p w:rsidR="007532F0" w:rsidRPr="007532F0" w:rsidRDefault="007532F0" w:rsidP="00753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Không có chống chỉ định về bệnh lý nội khoa (huyết học, nội tiết,...)</w:t>
      </w:r>
    </w:p>
    <w:p w:rsidR="007532F0" w:rsidRPr="007532F0" w:rsidRDefault="007532F0" w:rsidP="00753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    Bệnh nhân đồng ý băng ép, hợp tác trong điều trị và tái khám đúng hẹn</w:t>
      </w:r>
    </w:p>
    <w:p w:rsidR="007532F0" w:rsidRPr="007532F0" w:rsidRDefault="007532F0" w:rsidP="00753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2.    Phòng ngừa khôi máu tụ tái lập</w:t>
      </w:r>
    </w:p>
    <w:p w:rsidR="007532F0" w:rsidRPr="007532F0" w:rsidRDefault="007532F0" w:rsidP="00753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    Phương pháp không xâm lấn: Dùng những miếng bông gòn và gạc ép chặt vào vùng trên khối máu tụ, trước và sau tai; hoặc có thể dùng kẹp mũi của vận động viên bơi lội để kẹp sau khi chọc hút</w:t>
      </w:r>
    </w:p>
    <w:p w:rsidR="007532F0" w:rsidRPr="007532F0" w:rsidRDefault="007532F0" w:rsidP="00753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    Phương pháp xâm lấn: dùng chỉ khâu ép xuyên qua các lđp của loa tai có lót gạc đệm</w:t>
      </w:r>
    </w:p>
    <w:p w:rsidR="007532F0" w:rsidRPr="007532F0" w:rsidRDefault="007532F0" w:rsidP="007532F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3. Thuốc điều trị</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34"/>
        <w:gridCol w:w="6946"/>
      </w:tblGrid>
      <w:tr w:rsidR="007532F0" w:rsidRPr="007532F0" w:rsidTr="007532F0">
        <w:trPr>
          <w:tblCellSpacing w:w="15" w:type="dxa"/>
        </w:trPr>
        <w:tc>
          <w:tcPr>
            <w:tcW w:w="267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7532F0" w:rsidRPr="007532F0" w:rsidRDefault="007532F0" w:rsidP="007532F0">
            <w:pPr>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Kháng sinh</w:t>
            </w:r>
          </w:p>
          <w:p w:rsidR="007532F0" w:rsidRPr="007532F0" w:rsidRDefault="007532F0" w:rsidP="007532F0">
            <w:pPr>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(Có thể sử dụng 1</w:t>
            </w:r>
          </w:p>
          <w:p w:rsidR="007532F0" w:rsidRPr="007532F0" w:rsidRDefault="007532F0" w:rsidP="007532F0">
            <w:pPr>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trong những nhóm</w:t>
            </w:r>
          </w:p>
          <w:p w:rsidR="007532F0" w:rsidRPr="007532F0" w:rsidRDefault="007532F0" w:rsidP="007532F0">
            <w:pPr>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kháng sinh sau)</w:t>
            </w:r>
          </w:p>
        </w:tc>
        <w:tc>
          <w:tcPr>
            <w:tcW w:w="861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7532F0" w:rsidRPr="007532F0" w:rsidRDefault="007532F0" w:rsidP="007532F0">
            <w:pPr>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Nhóm Fluoroquinolones</w:t>
            </w:r>
          </w:p>
          <w:p w:rsidR="007532F0" w:rsidRPr="007532F0" w:rsidRDefault="007532F0" w:rsidP="007532F0">
            <w:pPr>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 Ciprofloxacin (ciprobay, opecipro...), liều lượng</w:t>
            </w:r>
            <w:r w:rsidRPr="007532F0">
              <w:rPr>
                <w:rFonts w:ascii="Times New Roman" w:eastAsia="Times New Roman" w:hAnsi="Times New Roman" w:cs="Times New Roman"/>
                <w:color w:val="000000"/>
                <w:sz w:val="24"/>
                <w:szCs w:val="24"/>
              </w:rPr>
              <w:br/>
              <w:t>500mg X 2 lần/ngày</w:t>
            </w:r>
            <w:r w:rsidRPr="007532F0">
              <w:rPr>
                <w:rFonts w:ascii="Times New Roman" w:eastAsia="Times New Roman" w:hAnsi="Times New Roman" w:cs="Times New Roman"/>
                <w:color w:val="000000"/>
                <w:sz w:val="24"/>
                <w:szCs w:val="24"/>
              </w:rPr>
              <w:br/>
              <w:t>- Hoặc Levofloxacine (levotab, tavanic...), liều</w:t>
            </w:r>
            <w:r w:rsidRPr="007532F0">
              <w:rPr>
                <w:rFonts w:ascii="Times New Roman" w:eastAsia="Times New Roman" w:hAnsi="Times New Roman" w:cs="Times New Roman"/>
                <w:color w:val="000000"/>
                <w:sz w:val="24"/>
                <w:szCs w:val="24"/>
              </w:rPr>
              <w:br/>
              <w:t>lượng 500mg X 1 lần/ngày</w:t>
            </w:r>
            <w:r w:rsidRPr="007532F0">
              <w:rPr>
                <w:rFonts w:ascii="Times New Roman" w:eastAsia="Times New Roman" w:hAnsi="Times New Roman" w:cs="Times New Roman"/>
                <w:color w:val="000000"/>
                <w:sz w:val="24"/>
                <w:szCs w:val="24"/>
              </w:rPr>
              <w:br/>
              <w:t>Nhóm amoxicillin + clavulanate (Augmentin 625mg,</w:t>
            </w:r>
            <w:r w:rsidRPr="007532F0">
              <w:rPr>
                <w:rFonts w:ascii="Times New Roman" w:eastAsia="Times New Roman" w:hAnsi="Times New Roman" w:cs="Times New Roman"/>
                <w:color w:val="000000"/>
                <w:sz w:val="24"/>
                <w:szCs w:val="24"/>
              </w:rPr>
              <w:br/>
              <w:t>lg, Klamentin 625mg, lg,...)</w:t>
            </w:r>
            <w:r w:rsidRPr="007532F0">
              <w:rPr>
                <w:rFonts w:ascii="Times New Roman" w:eastAsia="Times New Roman" w:hAnsi="Times New Roman" w:cs="Times New Roman"/>
                <w:color w:val="000000"/>
                <w:sz w:val="24"/>
                <w:szCs w:val="24"/>
              </w:rPr>
              <w:br/>
              <w:t>- Liều lượng 625mg X 3 lần/ngày, lg X 2 lần/ngày</w:t>
            </w:r>
            <w:r w:rsidRPr="007532F0">
              <w:rPr>
                <w:rFonts w:ascii="Times New Roman" w:eastAsia="Times New Roman" w:hAnsi="Times New Roman" w:cs="Times New Roman"/>
                <w:color w:val="000000"/>
                <w:sz w:val="24"/>
                <w:szCs w:val="24"/>
              </w:rPr>
              <w:br/>
              <w:t>- Nhóm Cephalosporin thế hệ 2, 3</w:t>
            </w:r>
            <w:r w:rsidRPr="007532F0">
              <w:rPr>
                <w:rFonts w:ascii="Times New Roman" w:eastAsia="Times New Roman" w:hAnsi="Times New Roman" w:cs="Times New Roman"/>
                <w:color w:val="000000"/>
                <w:sz w:val="24"/>
                <w:szCs w:val="24"/>
              </w:rPr>
              <w:br/>
              <w:t>- C2: Cefuroxim (Zinnat 500mg, liều lượng 500mg</w:t>
            </w:r>
            <w:r w:rsidRPr="007532F0">
              <w:rPr>
                <w:rFonts w:ascii="Times New Roman" w:eastAsia="Times New Roman" w:hAnsi="Times New Roman" w:cs="Times New Roman"/>
                <w:color w:val="000000"/>
                <w:sz w:val="24"/>
                <w:szCs w:val="24"/>
              </w:rPr>
              <w:br/>
              <w:t>X 2 lần/ngày,...);</w:t>
            </w:r>
            <w:r w:rsidRPr="007532F0">
              <w:rPr>
                <w:rFonts w:ascii="Times New Roman" w:eastAsia="Times New Roman" w:hAnsi="Times New Roman" w:cs="Times New Roman"/>
                <w:color w:val="000000"/>
                <w:sz w:val="24"/>
                <w:szCs w:val="24"/>
              </w:rPr>
              <w:br/>
            </w:r>
            <w:r w:rsidRPr="007532F0">
              <w:rPr>
                <w:rFonts w:ascii="Times New Roman" w:eastAsia="Times New Roman" w:hAnsi="Times New Roman" w:cs="Times New Roman"/>
                <w:color w:val="000000"/>
                <w:sz w:val="24"/>
                <w:szCs w:val="24"/>
              </w:rPr>
              <w:lastRenderedPageBreak/>
              <w:t>+ hoặc cefaclor (ceclor CD,... liều lượng</w:t>
            </w:r>
            <w:r w:rsidRPr="007532F0">
              <w:rPr>
                <w:rFonts w:ascii="Times New Roman" w:eastAsia="Times New Roman" w:hAnsi="Times New Roman" w:cs="Times New Roman"/>
                <w:color w:val="000000"/>
                <w:sz w:val="24"/>
                <w:szCs w:val="24"/>
              </w:rPr>
              <w:br/>
              <w:t>375mg X 2 lần/ngày)</w:t>
            </w:r>
            <w:r w:rsidRPr="007532F0">
              <w:rPr>
                <w:rFonts w:ascii="Times New Roman" w:eastAsia="Times New Roman" w:hAnsi="Times New Roman" w:cs="Times New Roman"/>
                <w:color w:val="000000"/>
                <w:sz w:val="24"/>
                <w:szCs w:val="24"/>
              </w:rPr>
              <w:br/>
              <w:t>- C3: Cefixim (unifix 200mg, effixent 200mg,</w:t>
            </w:r>
            <w:r w:rsidRPr="007532F0">
              <w:rPr>
                <w:rFonts w:ascii="Times New Roman" w:eastAsia="Times New Roman" w:hAnsi="Times New Roman" w:cs="Times New Roman"/>
                <w:color w:val="000000"/>
                <w:sz w:val="24"/>
                <w:szCs w:val="24"/>
              </w:rPr>
              <w:br/>
              <w:t>cefixycin 100mg,...), liều lượng 200mg X 2 lần/ngày;</w:t>
            </w:r>
            <w:r w:rsidRPr="007532F0">
              <w:rPr>
                <w:rFonts w:ascii="Times New Roman" w:eastAsia="Times New Roman" w:hAnsi="Times New Roman" w:cs="Times New Roman"/>
                <w:color w:val="000000"/>
                <w:sz w:val="24"/>
                <w:szCs w:val="24"/>
              </w:rPr>
              <w:br/>
              <w:t>+ hoặc Cefdinir (aldinir 300mg, genocef</w:t>
            </w:r>
            <w:r w:rsidRPr="007532F0">
              <w:rPr>
                <w:rFonts w:ascii="Times New Roman" w:eastAsia="Times New Roman" w:hAnsi="Times New Roman" w:cs="Times New Roman"/>
                <w:color w:val="000000"/>
                <w:sz w:val="24"/>
                <w:szCs w:val="24"/>
              </w:rPr>
              <w:br/>
              <w:t>300mg,...), liều lượng 200mg X 2 lần/ngày</w:t>
            </w:r>
            <w:r w:rsidRPr="007532F0">
              <w:rPr>
                <w:rFonts w:ascii="Times New Roman" w:eastAsia="Times New Roman" w:hAnsi="Times New Roman" w:cs="Times New Roman"/>
                <w:color w:val="000000"/>
                <w:sz w:val="24"/>
                <w:szCs w:val="24"/>
              </w:rPr>
              <w:br/>
              <w:t>+ h o ặ c C e fp o d o x im ( s e lb a k o 200mg, s a n f e t il</w:t>
            </w:r>
            <w:r w:rsidRPr="007532F0">
              <w:rPr>
                <w:rFonts w:ascii="Times New Roman" w:eastAsia="Times New Roman" w:hAnsi="Times New Roman" w:cs="Times New Roman"/>
                <w:color w:val="000000"/>
                <w:sz w:val="24"/>
                <w:szCs w:val="24"/>
              </w:rPr>
              <w:br/>
              <w:t>200mg), liều lượng 200mg X 2 lần/ngày</w:t>
            </w:r>
          </w:p>
        </w:tc>
      </w:tr>
      <w:tr w:rsidR="007532F0" w:rsidRPr="007532F0" w:rsidTr="007532F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532F0" w:rsidRPr="007532F0" w:rsidRDefault="007532F0" w:rsidP="007532F0">
            <w:pPr>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lastRenderedPageBreak/>
              <w:t>Chống viêm, chống phù nề: steroids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532F0" w:rsidRPr="007532F0" w:rsidRDefault="007532F0" w:rsidP="007532F0">
            <w:pPr>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    Methylprednisolone (Medrol 4mg, 16mg)</w:t>
            </w:r>
          </w:p>
          <w:p w:rsidR="007532F0" w:rsidRPr="007532F0" w:rsidRDefault="007532F0" w:rsidP="007532F0">
            <w:pPr>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    hoặc prednisolone (prednisone 5mg)</w:t>
            </w:r>
          </w:p>
          <w:p w:rsidR="007532F0" w:rsidRPr="007532F0" w:rsidRDefault="007532F0" w:rsidP="007532F0">
            <w:pPr>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    Liều lượng 20 - 40 mg/ngày</w:t>
            </w:r>
          </w:p>
        </w:tc>
      </w:tr>
      <w:tr w:rsidR="007532F0" w:rsidRPr="007532F0" w:rsidTr="007532F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532F0" w:rsidRPr="007532F0" w:rsidRDefault="007532F0" w:rsidP="007532F0">
            <w:pPr>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Giảm đau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7532F0" w:rsidRPr="007532F0" w:rsidRDefault="007532F0" w:rsidP="007532F0">
            <w:pPr>
              <w:spacing w:before="100" w:beforeAutospacing="1" w:after="100" w:afterAutospacing="1" w:line="240" w:lineRule="auto"/>
              <w:rPr>
                <w:rFonts w:ascii="Times New Roman" w:eastAsia="Times New Roman" w:hAnsi="Times New Roman" w:cs="Times New Roman"/>
                <w:color w:val="000000"/>
                <w:sz w:val="24"/>
                <w:szCs w:val="24"/>
              </w:rPr>
            </w:pPr>
            <w:r w:rsidRPr="007532F0">
              <w:rPr>
                <w:rFonts w:ascii="Times New Roman" w:eastAsia="Times New Roman" w:hAnsi="Times New Roman" w:cs="Times New Roman"/>
                <w:color w:val="000000"/>
                <w:sz w:val="24"/>
                <w:szCs w:val="24"/>
              </w:rPr>
              <w:t>- Acetaminophene (Efferalgan 500mg, Hapacol 500mg, panadol 500mg,...) liều lượng 500mg X 3-4 lần/ngày</w:t>
            </w:r>
          </w:p>
        </w:tc>
      </w:tr>
    </w:tbl>
    <w:p w:rsidR="00D81017" w:rsidRDefault="00D81017"/>
    <w:sectPr w:rsidR="00D810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532F0"/>
    <w:rsid w:val="007532F0"/>
    <w:rsid w:val="00D81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532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532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7046595">
      <w:bodyDiv w:val="1"/>
      <w:marLeft w:val="0"/>
      <w:marRight w:val="0"/>
      <w:marTop w:val="0"/>
      <w:marBottom w:val="0"/>
      <w:divBdr>
        <w:top w:val="none" w:sz="0" w:space="0" w:color="auto"/>
        <w:left w:val="none" w:sz="0" w:space="0" w:color="auto"/>
        <w:bottom w:val="none" w:sz="0" w:space="0" w:color="auto"/>
        <w:right w:val="none" w:sz="0" w:space="0" w:color="auto"/>
      </w:divBdr>
    </w:div>
    <w:div w:id="19726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2019-02-12T14:10:00Z</dcterms:created>
  <dcterms:modified xsi:type="dcterms:W3CDTF">2019-02-12T14:10:00Z</dcterms:modified>
</cp:coreProperties>
</file>