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5A3A">
      <w:pPr>
        <w:rPr>
          <w:b/>
          <w:bCs/>
          <w:color w:val="E80000"/>
          <w:shd w:val="clear" w:color="auto" w:fill="FFFFFF"/>
        </w:rPr>
      </w:pPr>
      <w:r>
        <w:rPr>
          <w:b/>
          <w:bCs/>
          <w:color w:val="E80000"/>
          <w:shd w:val="clear" w:color="auto" w:fill="FFFFFF"/>
        </w:rPr>
        <w:t>CHÀM THỂ TẠNG (VIÊM DA CƠ ĐỊA)</w:t>
      </w:r>
      <w:r>
        <w:rPr>
          <w:b/>
          <w:bCs/>
          <w:color w:val="E80000"/>
        </w:rPr>
        <w:br/>
      </w:r>
      <w:r>
        <w:rPr>
          <w:b/>
          <w:bCs/>
          <w:color w:val="E80000"/>
          <w:shd w:val="clear" w:color="auto" w:fill="FFFFFF"/>
        </w:rPr>
        <w:t>(ATOPIC DERMATITIS, ATOPIC ECZEMA)</w:t>
      </w:r>
    </w:p>
    <w:p w:rsidR="00325A3A" w:rsidRDefault="00325A3A">
      <w:r>
        <w:rPr>
          <w:noProof/>
        </w:rPr>
        <w:drawing>
          <wp:inline distT="0" distB="0" distL="0" distR="0">
            <wp:extent cx="5219700" cy="6553200"/>
            <wp:effectExtent l="19050" t="0" r="0" b="0"/>
            <wp:docPr id="1" name="Picture 1" descr="CHÃM THá» Táº NG (VIÃM DA CÆ  Äá»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ÃM THá» Táº NG (VIÃM DA CÆ  Äá»A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3A" w:rsidRDefault="00325A3A" w:rsidP="00325A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(2) DƯỠNG DA, GIỮ ẨM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Tắm: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Ngâm hoặc tắm nước ấm 15 phút / ngày.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+ Tránh chất tẩy rửa.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Dùng xà phòng tắm pH trung tính, không chất tạo mùi.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Thoa chất giữ ẩm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Dùng chất giữ ẩm đều đặn, liên tục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Thoa ngay khi bệnh nhân tắm xong và thoa nhiều lần trong ngày cách nhau 4 giờ.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Khối lượng: người lớn khoảng 600 g/tuần, trẻ em khoảng 250g / tuần.</w:t>
      </w:r>
    </w:p>
    <w:p w:rsidR="00325A3A" w:rsidRDefault="00325A3A" w:rsidP="00325A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(3) THAM VẤN, GIÁO DỤC SỨC KHỎE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Cho bệnh nhân và người nhà bệnh nhân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Hiểu rõ về bệnh và khả năng đáp ứng với điều trị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Thời gian điều trị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Khả năng tái phát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Tránh cào gãi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Giúp cải thiện chất lượng cuộc sống cho bệnh nhân</w:t>
      </w:r>
    </w:p>
    <w:p w:rsidR="00325A3A" w:rsidRDefault="00325A3A" w:rsidP="00325A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(4) BÔI CORTICOSTEROIDS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Là thuốc được lựa chọn đầu tiên trong điều trị viêm da cơ địa.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Tùy theo tuổi, vị trí, tính chất thương tổn, đáp ứng của bệnh nhân... mà chọn loại mạnh yếu khác nhau.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Loại mạnh, dùng khoảng 2 - 4 tuần, để giảm triệu chứng nhanh. Sau đó nên chuyển sang loại nhẹ hơn, dùng 2 lần/ tuần để duy trì.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Liều: không quá 45g/tuần loại mạnh, 100g/tuần loại trung bình hoặc yếu [1 Fingertip Unit (FTU) = 0,5 g thuốc, dùng cho 2% diện tích thương tổn].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Thời gian duy trì : Từ 2 đến 16 tuần.</w:t>
      </w:r>
    </w:p>
    <w:p w:rsidR="00325A3A" w:rsidRDefault="00325A3A" w:rsidP="00325A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(5) BÔI ỨC CHẾ CALCINEURIN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Là chọn lựa thứ hai cho điều trị viêm da cơ địa.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Không dùng cho trẻ em dưới 2 tuổi.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• Không dùng cho bệnh nhân suy giảm miễn dịch.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Dùng lượng thuốc nhỏ cần thiết để kiểm soát bệnh.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Thoa 2 lần / ngày tối đa 3 tuần giảm còn 1 lần / ngày.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Thời gian: khi không còn tổn thương thì ngưng (có thể kéo dài 3 năm)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Chú ý tác dụng phụ: đỏ da, nóng, ngứa, viêm nang lông, nhiễm siêu vi, nhạy cảm với nóng và lạnh, không dung nạp rượu.</w:t>
      </w:r>
    </w:p>
    <w:p w:rsidR="00325A3A" w:rsidRDefault="00325A3A" w:rsidP="00325A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(6) KHÁNG HISTAMINE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Là điều trị hỗ trợ trong viêm da cơ địa.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Có tác dụng giảm ngứa, cải thiện giấc ngủ, cải thiện chất lượng cuộc sống cho bệnh nhân.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Nên dùng nhóm có tác dụng an thần.</w:t>
      </w:r>
    </w:p>
    <w:p w:rsidR="00325A3A" w:rsidRDefault="00325A3A" w:rsidP="00325A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(7) TRÁNH CÁC YẾU TỐ THÚC ĐẨY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Thói quen cào gãi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Stress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Nhiễm trùng da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Các chất tiếp xúc kích thích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Các dị nguyên từ thức ăn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Các dị nguyên từ không khí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Vải len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Môi trường nóng, tăng tiết mồ hôi</w:t>
      </w:r>
    </w:p>
    <w:p w:rsidR="00325A3A" w:rsidRDefault="00325A3A" w:rsidP="00325A3A">
      <w:pPr>
        <w:pStyle w:val="style3"/>
        <w:rPr>
          <w:b/>
          <w:bCs/>
          <w:color w:val="E80000"/>
        </w:rPr>
      </w:pPr>
      <w:r>
        <w:rPr>
          <w:b/>
          <w:bCs/>
          <w:color w:val="E80000"/>
        </w:rPr>
        <w:t>(8) TÂM LÝ LIỆU PHÁP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Cải thiện mối quan hệ trong gia đình và xã hội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Giảm tỷ lệ bỏ học, bỏ việc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Giảm mặc cảm với bệnh tật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Giảm cào gãi theo thói quen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lastRenderedPageBreak/>
        <w:t>• Đôi khi phải kết hợp với Bác sỹ tâm thần</w:t>
      </w:r>
    </w:p>
    <w:p w:rsidR="00325A3A" w:rsidRDefault="00325A3A" w:rsidP="00325A3A">
      <w:pPr>
        <w:pStyle w:val="style3"/>
        <w:rPr>
          <w:b/>
          <w:bCs/>
          <w:color w:val="E80000"/>
        </w:rPr>
      </w:pPr>
      <w:r>
        <w:rPr>
          <w:b/>
          <w:bCs/>
          <w:color w:val="E80000"/>
        </w:rPr>
        <w:t>(9) BÔI CÁC DUNG DỊCH SÁT KHUẨN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Khi thương tổn giai đoạn cấp tinh, chảy dịch nhiều.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Kết hợp với tắm hoặc đắp thuốc tím pha loãng 1/10.000</w:t>
      </w:r>
    </w:p>
    <w:p w:rsidR="00325A3A" w:rsidRDefault="00325A3A" w:rsidP="00325A3A">
      <w:pPr>
        <w:pStyle w:val="style3"/>
        <w:rPr>
          <w:b/>
          <w:bCs/>
          <w:color w:val="E80000"/>
        </w:rPr>
      </w:pPr>
      <w:r>
        <w:rPr>
          <w:b/>
          <w:bCs/>
          <w:color w:val="E80000"/>
        </w:rPr>
        <w:t>(10) ĐÁNH GIÁ MỨC ĐỘ NẶNG :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Theo thang điểm SCORAD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SCORAD &lt; 25 : Nhẹ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SCORAD từ 25 - 50 : Trung bình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SCORAD &gt; 50 : Nặng</w:t>
      </w:r>
    </w:p>
    <w:p w:rsidR="00325A3A" w:rsidRDefault="00325A3A" w:rsidP="00325A3A">
      <w:pPr>
        <w:pStyle w:val="style3"/>
        <w:rPr>
          <w:b/>
          <w:bCs/>
          <w:color w:val="E80000"/>
        </w:rPr>
      </w:pPr>
      <w:r>
        <w:rPr>
          <w:b/>
          <w:bCs/>
          <w:color w:val="E80000"/>
        </w:rPr>
        <w:t>(11) NHẬP VIỆN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Khi thương tổn lan tỏa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Không đáp ứng hoặc đáp ứng kém với điều trị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Biến chứng đỏ da toàn thân</w:t>
      </w:r>
    </w:p>
    <w:p w:rsidR="00325A3A" w:rsidRDefault="00325A3A" w:rsidP="00325A3A">
      <w:pPr>
        <w:pStyle w:val="NormalWeb"/>
        <w:rPr>
          <w:color w:val="000000"/>
        </w:rPr>
      </w:pPr>
      <w:r>
        <w:rPr>
          <w:color w:val="000000"/>
        </w:rPr>
        <w:t>• Dùng các thuốc ức chế miễn dịch cần theo dõi tác dụng phụ của thuốc.</w:t>
      </w:r>
    </w:p>
    <w:p w:rsidR="00325A3A" w:rsidRDefault="00325A3A" w:rsidP="00325A3A">
      <w:pPr>
        <w:pStyle w:val="NormalWeb"/>
        <w:shd w:val="clear" w:color="auto" w:fill="FFFFFF"/>
        <w:rPr>
          <w:color w:val="000000"/>
        </w:rPr>
      </w:pPr>
    </w:p>
    <w:sectPr w:rsidR="0032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5A3A"/>
    <w:rsid w:val="0032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3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32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2019-02-13T03:40:00Z</dcterms:created>
  <dcterms:modified xsi:type="dcterms:W3CDTF">2019-02-13T03:41:00Z</dcterms:modified>
</cp:coreProperties>
</file>