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8A" w:rsidRPr="003B628A" w:rsidRDefault="003B628A" w:rsidP="003B628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</w:pPr>
      <w:r w:rsidRPr="003B628A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</w:rPr>
        <w:t>HÁC ĐỒ ĐIỀU TRỊ</w:t>
      </w:r>
      <w:r w:rsidRPr="003B628A">
        <w:rPr>
          <w:rFonts w:ascii="Times New Roman" w:eastAsia="Times New Roman" w:hAnsi="Times New Roman" w:cs="Times New Roman"/>
          <w:b/>
          <w:bCs/>
          <w:color w:val="E80000"/>
          <w:kern w:val="36"/>
          <w:sz w:val="21"/>
          <w:szCs w:val="21"/>
        </w:rPr>
        <w:t> VIÊM TAI GIỮA MÃN TÍNH</w:t>
      </w:r>
    </w:p>
    <w:p w:rsidR="003B628A" w:rsidRPr="003B628A" w:rsidRDefault="003B628A" w:rsidP="003B628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B62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ĐỊNH NGHĨA</w:t>
      </w:r>
    </w:p>
    <w:p w:rsidR="003B628A" w:rsidRPr="003B628A" w:rsidRDefault="003B628A" w:rsidP="003B6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8A">
        <w:rPr>
          <w:rFonts w:ascii="Times New Roman" w:eastAsia="Times New Roman" w:hAnsi="Times New Roman" w:cs="Times New Roman"/>
          <w:color w:val="000000"/>
          <w:sz w:val="24"/>
          <w:szCs w:val="24"/>
        </w:rPr>
        <w:t>Viêm Tai giữa mãn tính là VTG kéo dài trên 3 tháng.</w:t>
      </w:r>
    </w:p>
    <w:p w:rsidR="003B628A" w:rsidRPr="003B628A" w:rsidRDefault="003B628A" w:rsidP="003B628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B62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CÁC THỂ LÂM SÀNG</w:t>
      </w:r>
    </w:p>
    <w:p w:rsidR="003B628A" w:rsidRPr="003B628A" w:rsidRDefault="003B628A" w:rsidP="003B6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VTG mãn tính xuất tiết</w:t>
      </w:r>
    </w:p>
    <w:p w:rsidR="003B628A" w:rsidRPr="003B628A" w:rsidRDefault="003B628A" w:rsidP="003B6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8A">
        <w:rPr>
          <w:rFonts w:ascii="Times New Roman" w:eastAsia="Times New Roman" w:hAnsi="Times New Roman" w:cs="Times New Roman"/>
          <w:color w:val="000000"/>
          <w:sz w:val="24"/>
          <w:szCs w:val="24"/>
        </w:rPr>
        <w:t>- Là viêm tai xơ, không chảy nước ra ngoài tai, ít khi thủng nhĩ, còn gọi là xơ nhĩ.</w:t>
      </w:r>
    </w:p>
    <w:p w:rsidR="003B628A" w:rsidRPr="003B628A" w:rsidRDefault="003B628A" w:rsidP="003B6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8A">
        <w:rPr>
          <w:rFonts w:ascii="Times New Roman" w:eastAsia="Times New Roman" w:hAnsi="Times New Roman" w:cs="Times New Roman"/>
          <w:color w:val="000000"/>
          <w:sz w:val="24"/>
          <w:szCs w:val="24"/>
        </w:rPr>
        <w:t>- Triệu chứng lâm sàng:</w:t>
      </w:r>
    </w:p>
    <w:p w:rsidR="003B628A" w:rsidRPr="003B628A" w:rsidRDefault="003B628A" w:rsidP="003B6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8A">
        <w:rPr>
          <w:rFonts w:ascii="Times New Roman" w:eastAsia="Times New Roman" w:hAnsi="Times New Roman" w:cs="Times New Roman"/>
          <w:color w:val="000000"/>
          <w:sz w:val="24"/>
          <w:szCs w:val="24"/>
        </w:rPr>
        <w:t>• Điếc : tăng dần, có tính chất dẫn truyền.</w:t>
      </w:r>
    </w:p>
    <w:p w:rsidR="003B628A" w:rsidRPr="003B628A" w:rsidRDefault="003B628A" w:rsidP="003B6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8A">
        <w:rPr>
          <w:rFonts w:ascii="Times New Roman" w:eastAsia="Times New Roman" w:hAnsi="Times New Roman" w:cs="Times New Roman"/>
          <w:color w:val="000000"/>
          <w:sz w:val="24"/>
          <w:szCs w:val="24"/>
        </w:rPr>
        <w:t>• Ù tai, giọng trầm.</w:t>
      </w:r>
    </w:p>
    <w:p w:rsidR="003B628A" w:rsidRPr="003B628A" w:rsidRDefault="003B628A" w:rsidP="003B6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8A">
        <w:rPr>
          <w:rFonts w:ascii="Times New Roman" w:eastAsia="Times New Roman" w:hAnsi="Times New Roman" w:cs="Times New Roman"/>
          <w:color w:val="000000"/>
          <w:sz w:val="24"/>
          <w:szCs w:val="24"/>
        </w:rPr>
        <w:t>• Khám tai: màng nhĩ, đục, lõm.</w:t>
      </w:r>
    </w:p>
    <w:p w:rsidR="003B628A" w:rsidRPr="003B628A" w:rsidRDefault="003B628A" w:rsidP="003B6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8A">
        <w:rPr>
          <w:rFonts w:ascii="Times New Roman" w:eastAsia="Times New Roman" w:hAnsi="Times New Roman" w:cs="Times New Roman"/>
          <w:color w:val="000000"/>
          <w:sz w:val="24"/>
          <w:szCs w:val="24"/>
        </w:rPr>
        <w:t>- Điều trị: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Giải quyết các nguyên nhân ở mũi và vòm.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Thông khí tai giữa.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2.2. VTG mãn tính tiết nhày mủ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Nguyên nhân do mũi xoang, vòm (VA) kèm thêm bệnh tích ở sào bào, thượng nhĩ gây chảy mủ tai kéo dài.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Lâm sàng :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Vàng nhạt hoặc trong quánh, không thối.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Lỗ thủng màng nhĩ trước dưới.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Không bao giờ có cholestéatoma.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Xương chũm không đặc ngà.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Thính lực đồ : điếc dẫn truyền nhe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X quang : Xương chũm kém thông bào.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Điều trị: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• Chăm sóc tai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Điều trị nguyên nhân ở mũi và vòm.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Phẫu thuật: nên mở thượng nhĩ khi có chỉ định.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2.3. VTG mãn tính mủ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Hay gặp, thường kèm bệnh tính xương chũm.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Lâm sàng: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Chảy mủ tai vàng hoặc xanh thối.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Điếc: kiểu dẫn truyền.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Đau: ít gặp, nhưng khi có là dấu hiệu có giá trị, đáng lưu ý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Khám tai: lỗ thủng nguy hiểm khi ở 1/4 sau sau trên ngoạm vào xương, thủng hoặc sùi ở màng chùn.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Đôi khi có thể thấy cholesteatoma là 1 khối mềm trắng giống bã đậu gồm những tế bào biểu mô lẫn với mỡ và cholesterine, rất nguy hiểm, có thể gây biến chứng nội sọ.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2.4. VTXC mãn tính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Lâm sàng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Nhức dầu</w:t>
      </w:r>
    </w:p>
    <w:p w:rsidR="003B628A" w:rsidRDefault="003B628A" w:rsidP="003B628A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• Chảy mủ tai: thối</w:t>
      </w:r>
    </w:p>
    <w:p w:rsidR="003B628A" w:rsidRPr="003B628A" w:rsidRDefault="003B628A" w:rsidP="003B6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8A">
        <w:rPr>
          <w:rFonts w:ascii="Times New Roman" w:eastAsia="Times New Roman" w:hAnsi="Times New Roman" w:cs="Times New Roman"/>
          <w:color w:val="000000"/>
          <w:sz w:val="24"/>
          <w:szCs w:val="24"/>
        </w:rPr>
        <w:t>• Điếc</w:t>
      </w:r>
    </w:p>
    <w:p w:rsidR="003B628A" w:rsidRPr="003B628A" w:rsidRDefault="003B628A" w:rsidP="003B6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8A">
        <w:rPr>
          <w:rFonts w:ascii="Times New Roman" w:eastAsia="Times New Roman" w:hAnsi="Times New Roman" w:cs="Times New Roman"/>
          <w:color w:val="000000"/>
          <w:sz w:val="24"/>
          <w:szCs w:val="24"/>
        </w:rPr>
        <w:t>• Khám tai: lỗ thủng góc trên sau ngoạm xương.</w:t>
      </w:r>
    </w:p>
    <w:p w:rsidR="003B628A" w:rsidRPr="003B628A" w:rsidRDefault="003B628A" w:rsidP="003B6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8A">
        <w:rPr>
          <w:rFonts w:ascii="Times New Roman" w:eastAsia="Times New Roman" w:hAnsi="Times New Roman" w:cs="Times New Roman"/>
          <w:color w:val="000000"/>
          <w:sz w:val="24"/>
          <w:szCs w:val="24"/>
        </w:rPr>
        <w:t>- Thể lâm sàng:</w:t>
      </w:r>
    </w:p>
    <w:p w:rsidR="003B628A" w:rsidRPr="003B628A" w:rsidRDefault="003B628A" w:rsidP="003B6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8A">
        <w:rPr>
          <w:rFonts w:ascii="Times New Roman" w:eastAsia="Times New Roman" w:hAnsi="Times New Roman" w:cs="Times New Roman"/>
          <w:color w:val="000000"/>
          <w:sz w:val="24"/>
          <w:szCs w:val="24"/>
        </w:rPr>
        <w:t>• VTXC mãn tính có lỗ dò sau tai, dò Gellé.</w:t>
      </w:r>
    </w:p>
    <w:p w:rsidR="003B628A" w:rsidRPr="003B628A" w:rsidRDefault="003B628A" w:rsidP="003B6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8A">
        <w:rPr>
          <w:rFonts w:ascii="Times New Roman" w:eastAsia="Times New Roman" w:hAnsi="Times New Roman" w:cs="Times New Roman"/>
          <w:color w:val="000000"/>
          <w:sz w:val="24"/>
          <w:szCs w:val="24"/>
        </w:rPr>
        <w:t>• VTXC mãn tính có cholesteatoma : nguy hiểm, có thể có BCNS.</w:t>
      </w:r>
    </w:p>
    <w:p w:rsidR="003B628A" w:rsidRPr="003B628A" w:rsidRDefault="003B628A" w:rsidP="003B6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8A">
        <w:rPr>
          <w:rFonts w:ascii="Times New Roman" w:eastAsia="Times New Roman" w:hAnsi="Times New Roman" w:cs="Times New Roman"/>
          <w:color w:val="000000"/>
          <w:sz w:val="24"/>
          <w:szCs w:val="24"/>
        </w:rPr>
        <w:t>• Thể diễn biến ở bệnh nhân lao hoặc giang mai.</w:t>
      </w:r>
    </w:p>
    <w:p w:rsidR="003B628A" w:rsidRPr="003B628A" w:rsidRDefault="003B628A" w:rsidP="003B6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8A">
        <w:rPr>
          <w:rFonts w:ascii="Times New Roman" w:eastAsia="Times New Roman" w:hAnsi="Times New Roman" w:cs="Times New Roman"/>
          <w:color w:val="000000"/>
          <w:sz w:val="24"/>
          <w:szCs w:val="24"/>
        </w:rPr>
        <w:t>- Điều trị:</w:t>
      </w:r>
    </w:p>
    <w:p w:rsidR="003B628A" w:rsidRPr="003B628A" w:rsidRDefault="003B628A" w:rsidP="003B6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Nội khoa: ít tác dụng.</w:t>
      </w:r>
    </w:p>
    <w:p w:rsidR="003B628A" w:rsidRPr="003B628A" w:rsidRDefault="003B628A" w:rsidP="003B6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8A">
        <w:rPr>
          <w:rFonts w:ascii="Times New Roman" w:eastAsia="Times New Roman" w:hAnsi="Times New Roman" w:cs="Times New Roman"/>
          <w:color w:val="000000"/>
          <w:sz w:val="24"/>
          <w:szCs w:val="24"/>
        </w:rPr>
        <w:t>• Phẫu thuật: hiện nay thường giải quyết tiệt căn viêm xương và có phối hợp</w:t>
      </w:r>
    </w:p>
    <w:p w:rsidR="003B628A" w:rsidRPr="003B628A" w:rsidRDefault="003B628A" w:rsidP="003B6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8A">
        <w:rPr>
          <w:rFonts w:ascii="Times New Roman" w:eastAsia="Times New Roman" w:hAnsi="Times New Roman" w:cs="Times New Roman"/>
          <w:color w:val="000000"/>
          <w:sz w:val="24"/>
          <w:szCs w:val="24"/>
        </w:rPr>
        <w:t>chỉnh hình tai giữa, chỉnh hình chuỗi xương con.</w:t>
      </w:r>
    </w:p>
    <w:p w:rsidR="003B628A" w:rsidRPr="003B628A" w:rsidRDefault="003B628A" w:rsidP="003B62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6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ĐIỀU TRỊ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3"/>
        <w:gridCol w:w="6837"/>
      </w:tblGrid>
      <w:tr w:rsidR="003B628A" w:rsidRPr="003B628A" w:rsidTr="003B62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Kháng sinh:</w:t>
            </w:r>
          </w:p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 thể sử dụng 1 trong các loại sau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Augmentine</w:t>
            </w:r>
          </w:p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Ceíuroxime (Zinnat; Zinmax;...)</w:t>
            </w:r>
          </w:p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Cetíxime (Cexim;...)</w:t>
            </w:r>
          </w:p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Clindamycine(Tidact, Neotacine, Dalacin)</w:t>
            </w:r>
          </w:p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Ciproũoxacine (Serviũox, Ciprobay;...)</w:t>
            </w:r>
          </w:p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Sparloxacine (Spardac;...)</w:t>
            </w:r>
          </w:p>
        </w:tc>
      </w:tr>
      <w:tr w:rsidR="003B628A" w:rsidRPr="003B628A" w:rsidTr="003B62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Kháng viêm:</w:t>
            </w:r>
          </w:p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 thể sử dụng 1 trong các loại sau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Steroide:</w:t>
            </w:r>
          </w:p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Prednisolone 5mg:</w:t>
            </w:r>
          </w:p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Methylprednisolone (Medrol 4mg,16mg)</w:t>
            </w:r>
          </w:p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Non-Steroid:</w:t>
            </w:r>
          </w:p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Diclofenac (Neo-pyrazone 50mg)</w:t>
            </w:r>
          </w:p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Enzyme:</w:t>
            </w:r>
          </w:p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Lysozyme (Noflux 90mg)</w:t>
            </w:r>
          </w:p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Serratiopeptidase (Garzen lOmg)</w:t>
            </w:r>
          </w:p>
        </w:tc>
      </w:tr>
      <w:tr w:rsidR="003B628A" w:rsidRPr="003B628A" w:rsidTr="003B62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Giảm đau:</w:t>
            </w:r>
          </w:p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 thể sử dụng 1 trong các thuốc sau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Paracetamol (Acemol 0,325g; Panadol 0,5g; Efferalgan 0,5g; Dafalgan 0,15g;...) 30 - 40 mg/kg/24giờ</w:t>
            </w:r>
          </w:p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Di-antalvic: lv X 3-41ần/24 giờ</w:t>
            </w:r>
          </w:p>
        </w:tc>
      </w:tr>
      <w:tr w:rsidR="003B628A" w:rsidRPr="003B628A" w:rsidTr="003B628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Kháng Histamine:</w:t>
            </w:r>
          </w:p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 thể sử dụng 1 trong các thuốc sau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Chlopheniramin</w:t>
            </w:r>
          </w:p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Actifed</w:t>
            </w:r>
          </w:p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Fexofenadine (Teliast 60mg, Altiva 60mg)</w:t>
            </w:r>
          </w:p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Cetirizine (Zyrtec lOmg)</w:t>
            </w:r>
          </w:p>
          <w:p w:rsidR="003B628A" w:rsidRPr="003B628A" w:rsidRDefault="003B628A" w:rsidP="003B6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2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Loratadine (Clarityne lOmg)</w:t>
            </w:r>
          </w:p>
        </w:tc>
      </w:tr>
    </w:tbl>
    <w:p w:rsidR="002D5366" w:rsidRDefault="002D5366"/>
    <w:sectPr w:rsidR="002D5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B628A"/>
    <w:rsid w:val="002D5366"/>
    <w:rsid w:val="003B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6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B6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B62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3">
    <w:name w:val="style3"/>
    <w:basedOn w:val="DefaultParagraphFont"/>
    <w:rsid w:val="003B628A"/>
  </w:style>
  <w:style w:type="paragraph" w:styleId="NormalWeb">
    <w:name w:val="Normal (Web)"/>
    <w:basedOn w:val="Normal"/>
    <w:uiPriority w:val="99"/>
    <w:unhideWhenUsed/>
    <w:rsid w:val="003B6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6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2019-02-12T13:55:00Z</dcterms:created>
  <dcterms:modified xsi:type="dcterms:W3CDTF">2019-02-12T13:56:00Z</dcterms:modified>
</cp:coreProperties>
</file>