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5FD" w:rsidRPr="00BC05FD" w:rsidRDefault="00BC05FD" w:rsidP="00BC05F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BC05FD">
        <w:rPr>
          <w:rFonts w:ascii="Times New Roman" w:eastAsia="Times New Roman" w:hAnsi="Times New Roman" w:cs="Times New Roman"/>
          <w:b/>
          <w:bCs/>
          <w:color w:val="E80000"/>
          <w:kern w:val="36"/>
          <w:sz w:val="21"/>
          <w:szCs w:val="21"/>
        </w:rPr>
        <w:t>GÂY MÊ NỘI SOI TIÊU HÓA TRÊN Ở TRẺ EM</w:t>
      </w:r>
    </w:p>
    <w:p w:rsidR="00BC05FD" w:rsidRPr="00BC05FD" w:rsidRDefault="00BC05FD" w:rsidP="00BC05F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C05FD">
        <w:rPr>
          <w:rFonts w:ascii="Times New Roman" w:eastAsia="Times New Roman" w:hAnsi="Times New Roman" w:cs="Times New Roman"/>
          <w:b/>
          <w:bCs/>
          <w:color w:val="000000"/>
          <w:sz w:val="27"/>
          <w:szCs w:val="27"/>
        </w:rPr>
        <w:t>I. KHÁM TIỀN MÊ</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Buổi sáng cùng ngày.</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Chú ý bệnh sử dễ nôn ói hay xuất huyết tiêu hóa trên, bệnh về máu, tình trạng thiếu máu, xơ gan, tăng áp tĩnh mạch cửa, bệnh thận, viêm phổi, thuốc đang điều trị,.</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Yêu cầu đặt sonde dạ dày nếu cần thiết. Đăng ký máu nếu đang bị xuất huyết.</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b/>
          <w:bCs/>
          <w:color w:val="000000"/>
          <w:sz w:val="24"/>
          <w:szCs w:val="24"/>
        </w:rPr>
        <w:t>II. TẠI PHÒNG NỘI SOI</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Đặt đường truyền tĩnh mạch nếu có thể.</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Tiền mê:</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Atropin 0,01 mg/Kg (TM).</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Midazolam 0,1 mg/Kg (TM) (nếu cần).</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Monitor: SaO</w:t>
      </w:r>
      <w:r w:rsidRPr="00BC05FD">
        <w:rPr>
          <w:rFonts w:ascii="Times New Roman" w:eastAsia="Times New Roman" w:hAnsi="Times New Roman" w:cs="Times New Roman"/>
          <w:color w:val="000000"/>
          <w:sz w:val="24"/>
          <w:szCs w:val="24"/>
          <w:vertAlign w:val="subscript"/>
        </w:rPr>
        <w:t>2</w:t>
      </w:r>
      <w:r w:rsidRPr="00BC05FD">
        <w:rPr>
          <w:rFonts w:ascii="Times New Roman" w:eastAsia="Times New Roman" w:hAnsi="Times New Roman" w:cs="Times New Roman"/>
          <w:color w:val="000000"/>
          <w:sz w:val="24"/>
          <w:szCs w:val="24"/>
        </w:rPr>
        <w:t>, Huyết áp kế, ống nghe trước tim.</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Preoxygenation.</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Dẫn đầu:</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Propofol 5mg/Kg (TM).</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Sevofluran + Oxy.</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Ketalar 1-2 mg/Kg (TM) nếu bệnh nhân đang sốc.</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Nếu chưa có đường truyền thì dẫn đầu bằng Sevofluran + Oxy.</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Suxamethonium 1-2 mg/Kg (TM) (nếu cần).</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Đặt NKQ.</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Đặt tư thế bệnh nhân nghiêng trái, kiểm tra vị trí ống NKQ lại.</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Duy trì:</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Isofluran + Oxy.</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Hoặc Propofol 1/2 liều đầu từng liều</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lastRenderedPageBreak/>
        <w:t>• Giảm đau hậu phẫu Acetaminophen 10 - 15 mg/kg (TM).</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Rút NKQ khi bệnh nhân thở tốt, có các phản xạ và dấu hiệu sinh tồn ổn định.</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Chuyển bệnh nhân sang phòng hồi tỉnh theo dõi đến khi tỉnh hẳn.</w:t>
      </w:r>
    </w:p>
    <w:p w:rsidR="00BC05FD" w:rsidRPr="00BC05FD" w:rsidRDefault="00BC05FD" w:rsidP="00BC05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5FD">
        <w:rPr>
          <w:rFonts w:ascii="Times New Roman" w:eastAsia="Times New Roman" w:hAnsi="Times New Roman" w:cs="Times New Roman"/>
          <w:color w:val="000000"/>
          <w:sz w:val="24"/>
          <w:szCs w:val="24"/>
        </w:rPr>
        <w:t>• Chú ý hút sạch dịch tiết hay máu trong vùng hầu họng trước khi rút NKQ và theo dõi chặt chẽ đến lúc bệnh tỉnh hẳn do nguy cơ của bệnh lý sẵn có.</w:t>
      </w:r>
    </w:p>
    <w:p w:rsidR="00381FA2" w:rsidRDefault="00381FA2">
      <w:bookmarkStart w:id="0" w:name="_GoBack"/>
      <w:bookmarkEnd w:id="0"/>
    </w:p>
    <w:sectPr w:rsidR="00381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62"/>
    <w:rsid w:val="00381FA2"/>
    <w:rsid w:val="00BC05FD"/>
    <w:rsid w:val="00DB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51DA6-6274-4017-A0E1-34861BA6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0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C05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5F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C05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05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0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3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2019-02-17T06:30:00Z</dcterms:created>
  <dcterms:modified xsi:type="dcterms:W3CDTF">2019-02-17T06:30:00Z</dcterms:modified>
</cp:coreProperties>
</file>